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驻韩国使馆远程视频公证申请表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申请人手机号码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申请人居住地址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国内公证机构名称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国内公证机构联系人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国内公证机构联系方式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公证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希望办理时间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instrText xml:space="preserve"> HYPERLINK "mailto:请后附申请人有效中国护照资料页照片、韩国外国人登录证正反面照片后，连同上表格一并发送至签证中心邮箱namsansquarecenter@visaforchina.org。"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请将此表连同申请人有效中国护照资料页、韩国外国人登录证正反面照片一并发送至邮箱seoul@csm.mfa.gov.cn或namsansquarecenter@visaforchina.org（签证中心邮箱）。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96C19"/>
    <w:rsid w:val="36096C19"/>
    <w:rsid w:val="7B0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0"/>
    <w:pPr>
      <w:widowControl w:val="0"/>
      <w:ind w:left="420"/>
      <w:jc w:val="both"/>
    </w:pPr>
    <w:rPr>
      <w:rFonts w:ascii="等线" w:hAnsi="等线" w:eastAsia="等线" w:cs="Arial"/>
      <w:b/>
      <w:kern w:val="2"/>
      <w:sz w:val="30"/>
      <w:szCs w:val="30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2023-05-11T01:13:00Z</dcterms:created>
  <dc:creator>君君</dc:creator>
  <cp:lastModifiedBy>君君</cp:lastModifiedBy>
  <dcterms:modified xsi:type="dcterms:W3CDTF">2023-05-11T01:19:21Z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